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98E73" w14:textId="77777777" w:rsidR="006F25DD" w:rsidRPr="006F25DD" w:rsidRDefault="006F25DD" w:rsidP="006F25DD">
      <w:pPr>
        <w:spacing w:before="100" w:beforeAutospacing="1" w:after="100" w:afterAutospacing="1" w:line="240" w:lineRule="auto"/>
        <w:outlineLvl w:val="0"/>
        <w:rPr>
          <w:rFonts w:ascii="Arial" w:eastAsia="Times New Roman" w:hAnsi="Arial" w:cs="Times New Roman"/>
          <w:b/>
          <w:bCs/>
          <w:snapToGrid w:val="0"/>
          <w:color w:val="221551"/>
          <w:kern w:val="0"/>
          <w:sz w:val="28"/>
          <w:szCs w:val="28"/>
          <w14:ligatures w14:val="none"/>
        </w:rPr>
      </w:pPr>
      <w:r w:rsidRPr="006F25DD">
        <w:rPr>
          <w:rFonts w:ascii="Arial" w:eastAsia="Times New Roman" w:hAnsi="Arial" w:cs="Times New Roman"/>
          <w:b/>
          <w:bCs/>
          <w:snapToGrid w:val="0"/>
          <w:color w:val="221551"/>
          <w:kern w:val="0"/>
          <w:sz w:val="28"/>
          <w:szCs w:val="28"/>
          <w14:ligatures w14:val="none"/>
        </w:rPr>
        <w:t>Appendix A(ii) – KPI &amp; SLA Schedule</w:t>
      </w:r>
    </w:p>
    <w:p w14:paraId="73DA864D" w14:textId="77777777" w:rsidR="006F25DD" w:rsidRPr="006F25DD" w:rsidRDefault="006F25DD" w:rsidP="006F25DD">
      <w:pPr>
        <w:spacing w:before="100" w:beforeAutospacing="1" w:after="100" w:afterAutospacing="1"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Lot 1 – Hard-Wired Maintenance and DAUs of Call Monitoring Systems</w:t>
      </w:r>
    </w:p>
    <w:p w14:paraId="215F1E7A" w14:textId="77777777" w:rsidR="006F25DD" w:rsidRPr="006F25DD" w:rsidRDefault="006F25DD" w:rsidP="006F25DD">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1. Introduction</w:t>
      </w:r>
    </w:p>
    <w:p w14:paraId="5920F461" w14:textId="77777777" w:rsidR="006F25DD" w:rsidRPr="006F25DD" w:rsidRDefault="006F25DD" w:rsidP="006F25DD">
      <w:pPr>
        <w:spacing w:before="100" w:beforeAutospacing="1" w:after="100" w:afterAutospacing="1"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This Appendix sets out the key performance indicators (KPIs) and service levels applicable to the Lot 1 Hard-Wired Maintenance and DAUs of Call Monitoring Systems contract.</w:t>
      </w:r>
    </w:p>
    <w:p w14:paraId="604C00B5" w14:textId="77777777" w:rsidR="006F25DD" w:rsidRPr="006F25DD" w:rsidRDefault="006F25DD" w:rsidP="006F25DD">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2. KPI Summary Table</w:t>
      </w:r>
    </w:p>
    <w:tbl>
      <w:tblPr>
        <w:tblW w:w="0" w:type="auto"/>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50"/>
        <w:gridCol w:w="1644"/>
        <w:gridCol w:w="1854"/>
        <w:gridCol w:w="1654"/>
        <w:gridCol w:w="1328"/>
        <w:gridCol w:w="1780"/>
      </w:tblGrid>
      <w:tr w:rsidR="006F25DD" w:rsidRPr="006F25DD" w14:paraId="082A6375"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406EE"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AB6DF"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65DC1"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Measure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79FA9"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Target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4FB79"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Reporting Frequency</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02C26" w14:textId="77777777" w:rsidR="006F25DD" w:rsidRPr="006F25DD" w:rsidRDefault="006F25DD" w:rsidP="006F25DD">
            <w:pPr>
              <w:spacing w:after="0" w:line="240" w:lineRule="auto"/>
              <w:jc w:val="center"/>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Notes</w:t>
            </w:r>
          </w:p>
        </w:tc>
      </w:tr>
      <w:tr w:rsidR="006F25DD" w:rsidRPr="006F25DD" w14:paraId="4635F71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6351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F153D"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1 (Critical) attendance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E77E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1 faults attended within 4 hours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A182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Attendance within 4 hours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E78F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2CCC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Measured from time of fault notification to time on site.</w:t>
            </w:r>
          </w:p>
        </w:tc>
      </w:tr>
      <w:tr w:rsidR="006F25DD" w:rsidRPr="006F25DD" w14:paraId="7A5A7E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4BAD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0BE9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1 (Critical)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D9E8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1 faults completed where parts are available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830F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Completion within 24 hours where parts available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B078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C04A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Where parts are not available, temporary measures must be in place.</w:t>
            </w:r>
          </w:p>
        </w:tc>
      </w:tr>
      <w:tr w:rsidR="006F25DD" w:rsidRPr="006F25DD" w14:paraId="72237E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CE1DD"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C6F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2 (Emergency) attendance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A7F9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2 faults attended within 24 hours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DB4E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Attendance within 24 hours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29F3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401BD"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 defined in the Service Specification.</w:t>
            </w:r>
          </w:p>
        </w:tc>
      </w:tr>
      <w:tr w:rsidR="006F25DD" w:rsidRPr="006F25DD" w14:paraId="5F0CF9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9776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6AFD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2 (Emergency)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59E61"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2 faults completed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DB0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Completion within 3 working days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5B6E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6775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Excludes delays due to Aster-approved access or parts issues.</w:t>
            </w:r>
          </w:p>
        </w:tc>
      </w:tr>
      <w:tr w:rsidR="006F25DD" w:rsidRPr="006F25DD" w14:paraId="365848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26C97"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C861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3 (Routine) attendance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104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3 faults attended within 5 working days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CF59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Attendance within 5 working days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6897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5158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 defined in the Service Specification.</w:t>
            </w:r>
          </w:p>
        </w:tc>
      </w:tr>
      <w:tr w:rsidR="006F25DD" w:rsidRPr="006F25DD" w14:paraId="5F59703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2D3A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FB15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Priority 3 (Routine)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375F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Priority 3 faults completed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1DF1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Completion within 10 working days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79AE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EF9F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Excludes delays due to Aster-approved access or parts issues.</w:t>
            </w:r>
          </w:p>
        </w:tc>
      </w:tr>
      <w:tr w:rsidR="006F25DD" w:rsidRPr="006F25DD" w14:paraId="4E1AAF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320FB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1F2B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First-time fix performance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92D6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repairs completed on first visit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F7080"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Target to be agreed with Aster (e.g. 75–85%)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BE58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Quarterly</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1057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Measured across all attended faults.</w:t>
            </w:r>
          </w:p>
        </w:tc>
      </w:tr>
      <w:tr w:rsidR="006F25DD" w:rsidRPr="006F25DD" w14:paraId="4939413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E8B59"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4BAA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Temporary measures when awaiting parts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8C8D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applicable faults where temporary measures are implemented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EDBB1"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Temporary measures in place in all applicable cases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EF6A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87CD1"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Includes temporary DAUs or other measures to maintain safety.</w:t>
            </w:r>
          </w:p>
        </w:tc>
      </w:tr>
      <w:tr w:rsidR="006F25DD" w:rsidRPr="006F25DD" w14:paraId="3B8E58D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75B9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127FD"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Notification to Aster when parts required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7EBF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cases where Aster is notified within required timeframe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4B23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Aster notified within 2 working hours where parts are required</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573A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34DD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 described in the Service Specification.</w:t>
            </w:r>
          </w:p>
        </w:tc>
      </w:tr>
      <w:tr w:rsidR="006F25DD" w:rsidRPr="006F25DD" w14:paraId="3CA641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4311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BFD2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Planned Preventative Maintenance (PPM)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C553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scheduled PPM visits completed within period</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D8C0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100% of PPMs completed (zero missed PPMs)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19DB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 / Annually</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D5A8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Missed PPMs must be rescheduled and reported.</w:t>
            </w:r>
          </w:p>
        </w:tc>
      </w:tr>
      <w:tr w:rsidR="006F25DD" w:rsidRPr="006F25DD" w14:paraId="23D0DA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23645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E0B4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PPM reporting timeliness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3147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PPM reports submitted within 48 hours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5984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Reports submitted within 48 hours of visit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00E0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7C0E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Using Aster’s standard PPM report template.</w:t>
            </w:r>
          </w:p>
        </w:tc>
      </w:tr>
      <w:tr w:rsidR="006F25DD" w:rsidRPr="006F25DD" w14:paraId="14DAB5C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4A070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C7D60"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Asset data accuracy</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2799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asset records that are accurate and complete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F1B53"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98% accurate and complete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822F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Quarterly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1E8B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Measured via joint audits and sample checks.</w:t>
            </w:r>
          </w:p>
        </w:tc>
      </w:tr>
      <w:tr w:rsidR="006F25DD" w:rsidRPr="006F25DD" w14:paraId="1C2493E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7BD38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ECC2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Update of asset and configuration records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A62B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updates submitted within required timeframe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9AD97"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Updates submitted within 24 hours of visit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5730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A2F4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Via Aster’s contractor portal or agreed mechanism.</w:t>
            </w:r>
          </w:p>
        </w:tc>
      </w:tr>
      <w:tr w:rsidR="006F25DD" w:rsidRPr="006F25DD" w14:paraId="19A4D1A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BE2E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CC920"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Major incident reporting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CD19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Time from identification of major incident to report to Aster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0E579"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Report provided within 4 hours of identification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00A1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Per incident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07BA9"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As defined in the Service Specification.</w:t>
            </w:r>
          </w:p>
        </w:tc>
      </w:tr>
      <w:tr w:rsidR="006F25DD" w:rsidRPr="006F25DD" w14:paraId="3A16D46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0C6DB4"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9716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No-access procedure compliance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03C2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no-access events where procedure followed correctly</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1A0B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Procedure followed in 100% of no-access events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FEE9D"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1DE37"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Includes no-access card, photographic evidence and rebooking.</w:t>
            </w:r>
          </w:p>
        </w:tc>
      </w:tr>
      <w:tr w:rsidR="006F25DD" w:rsidRPr="006F25DD" w14:paraId="6ECFDF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E2C09"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C21D9"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Job card quality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B4DB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job cards completed with all mandatory fields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1FF36"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100% of job cards fully completed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89342"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Quarterly</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6203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Sampled via quality audits.</w:t>
            </w:r>
          </w:p>
        </w:tc>
      </w:tr>
      <w:tr w:rsidR="006F25DD" w:rsidRPr="006F25DD" w14:paraId="09BF450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D86B8"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5FF41"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Stock reporting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E6C95"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Submission of monthly stock usage and replenishment report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84F4A"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Report submitted in full by agreed date each month</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6CECF"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897AB"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Format and content to be agreed with Aster.</w:t>
            </w:r>
          </w:p>
        </w:tc>
      </w:tr>
      <w:tr w:rsidR="006F25DD" w:rsidRPr="006F25DD" w14:paraId="1ECF2E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6EE97"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KPI18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BC550"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Monitoring centre collaboration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D5937"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 of relevant tests where monitoring centre is notified before and after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473F0"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100% of relevant tests notified before and after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099AC"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Monthly</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4535E" w14:textId="77777777" w:rsidR="006F25DD" w:rsidRPr="006F25DD" w:rsidRDefault="006F25DD" w:rsidP="006F25DD">
            <w:pPr>
              <w:spacing w:after="0"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Where systems are monitored.</w:t>
            </w:r>
          </w:p>
        </w:tc>
      </w:tr>
    </w:tbl>
    <w:p w14:paraId="0D499033" w14:textId="77777777" w:rsidR="006F25DD" w:rsidRPr="006F25DD" w:rsidRDefault="006F25DD" w:rsidP="006F25DD">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F25DD">
        <w:rPr>
          <w:rFonts w:ascii="Arial" w:eastAsia="Times New Roman" w:hAnsi="Arial" w:cs="Arial"/>
          <w:b/>
          <w:bCs/>
          <w:color w:val="000000"/>
          <w:kern w:val="0"/>
          <w:sz w:val="22"/>
          <w:szCs w:val="22"/>
          <w:lang w:eastAsia="en-GB"/>
          <w14:ligatures w14:val="none"/>
        </w:rPr>
        <w:t>3. Review of KPIs</w:t>
      </w:r>
    </w:p>
    <w:p w14:paraId="5A2DBF87" w14:textId="77777777" w:rsidR="006F25DD" w:rsidRPr="006F25DD" w:rsidRDefault="006F25DD" w:rsidP="006F25DD">
      <w:pPr>
        <w:spacing w:before="100" w:beforeAutospacing="1" w:after="100" w:afterAutospacing="1" w:line="240" w:lineRule="auto"/>
        <w:rPr>
          <w:rFonts w:ascii="Arial" w:eastAsia="Times New Roman" w:hAnsi="Arial" w:cs="Arial"/>
          <w:color w:val="000000"/>
          <w:kern w:val="0"/>
          <w:sz w:val="22"/>
          <w:szCs w:val="22"/>
          <w:lang w:eastAsia="en-GB"/>
          <w14:ligatures w14:val="none"/>
        </w:rPr>
      </w:pPr>
      <w:r w:rsidRPr="006F25DD">
        <w:rPr>
          <w:rFonts w:ascii="Arial" w:eastAsia="Times New Roman" w:hAnsi="Arial" w:cs="Arial"/>
          <w:color w:val="000000"/>
          <w:kern w:val="0"/>
          <w:sz w:val="22"/>
          <w:szCs w:val="22"/>
          <w:lang w:eastAsia="en-GB"/>
          <w14:ligatures w14:val="none"/>
        </w:rPr>
        <w:t>The KPIs set out in this Appendix may be reviewed jointly by Aster and the Contractor at agreed intervals during the Contract Term and may be updated by mutual agreement to reflect changes in service scope, technology or regulatory requirements.</w:t>
      </w:r>
    </w:p>
    <w:p w14:paraId="669EB6D5" w14:textId="77777777" w:rsidR="002972C9" w:rsidRPr="006F25DD" w:rsidRDefault="002972C9" w:rsidP="006F25DD">
      <w:pPr>
        <w:rPr>
          <w:rFonts w:ascii="Arial" w:hAnsi="Arial" w:cs="Arial"/>
          <w:sz w:val="22"/>
          <w:szCs w:val="22"/>
        </w:rPr>
      </w:pPr>
    </w:p>
    <w:sectPr w:rsidR="002972C9" w:rsidRPr="006F25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5EA"/>
    <w:rsid w:val="000935EA"/>
    <w:rsid w:val="001607A9"/>
    <w:rsid w:val="002972C9"/>
    <w:rsid w:val="004D70ED"/>
    <w:rsid w:val="004F2BE3"/>
    <w:rsid w:val="0053070C"/>
    <w:rsid w:val="006F25DD"/>
    <w:rsid w:val="00BE4500"/>
    <w:rsid w:val="00C810DA"/>
    <w:rsid w:val="00D434A8"/>
    <w:rsid w:val="00E569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0FE9C"/>
  <w15:chartTrackingRefBased/>
  <w15:docId w15:val="{84182BB6-9C08-440C-A437-050B0F51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35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35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35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35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5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5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5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5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5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5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35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35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35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5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5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5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5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5EA"/>
    <w:rPr>
      <w:rFonts w:eastAsiaTheme="majorEastAsia" w:cstheme="majorBidi"/>
      <w:color w:val="272727" w:themeColor="text1" w:themeTint="D8"/>
    </w:rPr>
  </w:style>
  <w:style w:type="paragraph" w:styleId="Title">
    <w:name w:val="Title"/>
    <w:basedOn w:val="Normal"/>
    <w:next w:val="Normal"/>
    <w:link w:val="TitleChar"/>
    <w:uiPriority w:val="10"/>
    <w:qFormat/>
    <w:rsid w:val="000935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5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5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5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5EA"/>
    <w:pPr>
      <w:spacing w:before="160"/>
      <w:jc w:val="center"/>
    </w:pPr>
    <w:rPr>
      <w:i/>
      <w:iCs/>
      <w:color w:val="404040" w:themeColor="text1" w:themeTint="BF"/>
    </w:rPr>
  </w:style>
  <w:style w:type="character" w:customStyle="1" w:styleId="QuoteChar">
    <w:name w:val="Quote Char"/>
    <w:basedOn w:val="DefaultParagraphFont"/>
    <w:link w:val="Quote"/>
    <w:uiPriority w:val="29"/>
    <w:rsid w:val="000935EA"/>
    <w:rPr>
      <w:i/>
      <w:iCs/>
      <w:color w:val="404040" w:themeColor="text1" w:themeTint="BF"/>
    </w:rPr>
  </w:style>
  <w:style w:type="paragraph" w:styleId="ListParagraph">
    <w:name w:val="List Paragraph"/>
    <w:basedOn w:val="Normal"/>
    <w:uiPriority w:val="34"/>
    <w:qFormat/>
    <w:rsid w:val="000935EA"/>
    <w:pPr>
      <w:ind w:left="720"/>
      <w:contextualSpacing/>
    </w:pPr>
  </w:style>
  <w:style w:type="character" w:styleId="IntenseEmphasis">
    <w:name w:val="Intense Emphasis"/>
    <w:basedOn w:val="DefaultParagraphFont"/>
    <w:uiPriority w:val="21"/>
    <w:qFormat/>
    <w:rsid w:val="000935EA"/>
    <w:rPr>
      <w:i/>
      <w:iCs/>
      <w:color w:val="0F4761" w:themeColor="accent1" w:themeShade="BF"/>
    </w:rPr>
  </w:style>
  <w:style w:type="paragraph" w:styleId="IntenseQuote">
    <w:name w:val="Intense Quote"/>
    <w:basedOn w:val="Normal"/>
    <w:next w:val="Normal"/>
    <w:link w:val="IntenseQuoteChar"/>
    <w:uiPriority w:val="30"/>
    <w:qFormat/>
    <w:rsid w:val="000935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5EA"/>
    <w:rPr>
      <w:i/>
      <w:iCs/>
      <w:color w:val="0F4761" w:themeColor="accent1" w:themeShade="BF"/>
    </w:rPr>
  </w:style>
  <w:style w:type="character" w:styleId="IntenseReference">
    <w:name w:val="Intense Reference"/>
    <w:basedOn w:val="DefaultParagraphFont"/>
    <w:uiPriority w:val="32"/>
    <w:qFormat/>
    <w:rsid w:val="000935EA"/>
    <w:rPr>
      <w:b/>
      <w:bCs/>
      <w:smallCaps/>
      <w:color w:val="0F4761" w:themeColor="accent1" w:themeShade="BF"/>
      <w:spacing w:val="5"/>
    </w:rPr>
  </w:style>
  <w:style w:type="table" w:styleId="TableGrid">
    <w:name w:val="Table Grid"/>
    <w:basedOn w:val="TableNormal"/>
    <w:uiPriority w:val="39"/>
    <w:rsid w:val="00093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7A83C-1E13-4015-8AC3-9D5B90F705D1}"/>
</file>

<file path=customXml/itemProps2.xml><?xml version="1.0" encoding="utf-8"?>
<ds:datastoreItem xmlns:ds="http://schemas.openxmlformats.org/officeDocument/2006/customXml" ds:itemID="{2C21DD26-0427-4195-AD45-08DBBC2EC9A8}"/>
</file>

<file path=customXml/itemProps3.xml><?xml version="1.0" encoding="utf-8"?>
<ds:datastoreItem xmlns:ds="http://schemas.openxmlformats.org/officeDocument/2006/customXml" ds:itemID="{09B7A033-FF93-43BE-A225-37D7FF59A79D}"/>
</file>

<file path=docProps/app.xml><?xml version="1.0" encoding="utf-8"?>
<Properties xmlns="http://schemas.openxmlformats.org/officeDocument/2006/extended-properties" xmlns:vt="http://schemas.openxmlformats.org/officeDocument/2006/docPropsVTypes">
  <Template>Normal</Template>
  <TotalTime>4</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McLoughlin</dc:creator>
  <cp:keywords/>
  <dc:description/>
  <cp:lastModifiedBy>Joe McLoughlin</cp:lastModifiedBy>
  <cp:revision>4</cp:revision>
  <dcterms:created xsi:type="dcterms:W3CDTF">2025-12-05T13:56:00Z</dcterms:created>
  <dcterms:modified xsi:type="dcterms:W3CDTF">2025-12-05T13:59:00Z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0x010100AF0DA92E2AD7A849ACCE4A73EF63F944</vt:lpwstr>
  </property>
</Properties>
</file>